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Settore polizia locale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locale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Emissioni ruoli riscossione sanzioni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nell'emissione della cartella esattoriale (ruolo) o dell'ingiunzione di pagamento, quando siano trascorsi 60 giorni senza che si sia proceduto al pagamento ed il verbale sia diventato titolo esecutivo.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689/1981 - D.Lgs. 285/92 - Codice della strada - D.P.R. 495/1992 - Regolamento di esecuzione e di attuazione del nuovo codice della strada - D.P.R. 151/2012 - Regolamento recante modifiche al D.P.R. 495/1992, concernente il regolamento di esecuzione e di attuazione del Nuovo Codice della strada, in materia di strutture, contrassegno e segnaletica per facilitare la mobilita' delle persone invalide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Settore polizia locale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locale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locale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La cartella esattoriale relativa a contravvenzioni al codice della strada deve essere notificata, a pena di decadenza, entro due anni dalla data di consegna del ruolo dal Comune irrogatore al concessionario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Impugnazione entro i termini indicati nel provvedimento da impugnare.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